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5" w:rsidRPr="00C450A6" w:rsidRDefault="00023015" w:rsidP="0002301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C450A6">
        <w:rPr>
          <w:rFonts w:ascii="Times New Roman" w:hAnsi="Times New Roman" w:cs="Times New Roman"/>
          <w:sz w:val="24"/>
          <w:szCs w:val="24"/>
          <w:lang w:val="lv-LV"/>
        </w:rPr>
        <w:t>Pielikums informatīvajam ziņojumam</w:t>
      </w:r>
    </w:p>
    <w:p w:rsidR="00023015" w:rsidRPr="00C450A6" w:rsidRDefault="002F32FA" w:rsidP="0002301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023015"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Par finansējumu Eiropas Savienības Strukturālo un investīciju fondu </w:t>
      </w:r>
    </w:p>
    <w:p w:rsidR="00023015" w:rsidRPr="00C450A6" w:rsidRDefault="00023015" w:rsidP="0002301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mērķa „Eiropas teritoriālā sadarbība” 2014.-2020.gada plānošanas periodam </w:t>
      </w:r>
    </w:p>
    <w:p w:rsidR="00023015" w:rsidRPr="00C450A6" w:rsidRDefault="00023015" w:rsidP="0002301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>finanšu kontroles sistēmas darbības nodrošināšanai Latvijā”</w:t>
      </w:r>
    </w:p>
    <w:p w:rsidR="00023015" w:rsidRPr="00C450A6" w:rsidRDefault="00023015" w:rsidP="0002301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023015" w:rsidRPr="00C450A6" w:rsidRDefault="00023015" w:rsidP="0002301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023015" w:rsidRPr="00C450A6" w:rsidRDefault="00023015" w:rsidP="0002301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42D55" w:rsidRPr="00C450A6" w:rsidRDefault="00C450A6" w:rsidP="00942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Aprēķins par </w:t>
      </w:r>
      <w:r w:rsidR="006D2A1E">
        <w:rPr>
          <w:rFonts w:ascii="Times New Roman" w:hAnsi="Times New Roman" w:cs="Times New Roman"/>
          <w:b/>
          <w:sz w:val="24"/>
          <w:szCs w:val="24"/>
          <w:lang w:val="lv-LV"/>
        </w:rPr>
        <w:t>nepieciešamo cilvēku skaitu</w:t>
      </w:r>
      <w:r w:rsidR="00942D55"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D54714" w:rsidRPr="00C450A6">
        <w:rPr>
          <w:rFonts w:ascii="Times New Roman" w:hAnsi="Times New Roman" w:cs="Times New Roman"/>
          <w:b/>
          <w:sz w:val="24"/>
          <w:szCs w:val="24"/>
          <w:lang w:val="lv-LV"/>
        </w:rPr>
        <w:t>2007.-2013</w:t>
      </w:r>
      <w:r w:rsidR="00942D55"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plānošanas perioda projektiem 2015. un 2016.gadā </w:t>
      </w:r>
    </w:p>
    <w:p w:rsidR="005C2501" w:rsidRPr="00C450A6" w:rsidRDefault="00C450A6" w:rsidP="005C2501">
      <w:pPr>
        <w:pStyle w:val="ListParagraph"/>
        <w:ind w:left="717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5C2501" w:rsidRPr="00C450A6">
        <w:rPr>
          <w:rFonts w:ascii="Times New Roman" w:hAnsi="Times New Roman" w:cs="Times New Roman"/>
          <w:sz w:val="24"/>
          <w:szCs w:val="24"/>
          <w:lang w:val="lv-LV"/>
        </w:rPr>
        <w:t>abula Nr.1</w:t>
      </w:r>
    </w:p>
    <w:p w:rsidR="005C2501" w:rsidRPr="00C450A6" w:rsidRDefault="005C2501" w:rsidP="005C2501">
      <w:pPr>
        <w:pStyle w:val="ListParagraph"/>
        <w:ind w:left="717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5C2501" w:rsidRPr="00C450A6" w:rsidRDefault="005C2501" w:rsidP="005C2501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Pārbaudīto pārskatu skaits pa gadiem 2007.-2013. plānošanas perioda projektiem</w:t>
      </w:r>
    </w:p>
    <w:tbl>
      <w:tblPr>
        <w:tblW w:w="6972" w:type="dxa"/>
        <w:jc w:val="center"/>
        <w:tblLook w:val="04A0" w:firstRow="1" w:lastRow="0" w:firstColumn="1" w:lastColumn="0" w:noHBand="0" w:noVBand="1"/>
      </w:tblPr>
      <w:tblGrid>
        <w:gridCol w:w="2473"/>
        <w:gridCol w:w="4499"/>
      </w:tblGrid>
      <w:tr w:rsidR="00942D55" w:rsidRPr="00C450A6" w:rsidTr="00B12215">
        <w:trPr>
          <w:trHeight w:val="609"/>
          <w:jc w:val="center"/>
        </w:trPr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2D55" w:rsidRPr="00C450A6" w:rsidRDefault="00942D55" w:rsidP="007617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Gads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2D55" w:rsidRPr="00C450A6" w:rsidRDefault="00942D55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6D2A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ārbaudīto p</w:t>
            </w: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ārskatu skaits </w:t>
            </w:r>
          </w:p>
        </w:tc>
      </w:tr>
      <w:tr w:rsidR="006D2A1E" w:rsidRPr="00C450A6" w:rsidTr="00B12215">
        <w:trPr>
          <w:trHeight w:val="609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A1E" w:rsidRPr="00C450A6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2007</w:t>
            </w:r>
          </w:p>
        </w:tc>
        <w:tc>
          <w:tcPr>
            <w:tcW w:w="4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1E" w:rsidRPr="00C450A6" w:rsidRDefault="006D2A1E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328 (INTERREG III A, III B, III C un URBACT)</w:t>
            </w:r>
          </w:p>
        </w:tc>
      </w:tr>
      <w:tr w:rsidR="006D2A1E" w:rsidRPr="00C450A6" w:rsidTr="00B12215">
        <w:trPr>
          <w:trHeight w:val="609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A1E" w:rsidRPr="00C450A6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2008</w:t>
            </w:r>
          </w:p>
        </w:tc>
        <w:tc>
          <w:tcPr>
            <w:tcW w:w="4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1E" w:rsidRPr="00C450A6" w:rsidRDefault="006D2A1E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199 (INTERREG III A, III B, III C un URBACT)</w:t>
            </w:r>
          </w:p>
        </w:tc>
      </w:tr>
      <w:tr w:rsidR="006D2A1E" w:rsidRPr="00C450A6" w:rsidTr="00B12215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A1E" w:rsidRPr="00C450A6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2009</w:t>
            </w:r>
          </w:p>
        </w:tc>
        <w:tc>
          <w:tcPr>
            <w:tcW w:w="4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1E" w:rsidRPr="00C450A6" w:rsidRDefault="006D2A1E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165</w:t>
            </w:r>
          </w:p>
        </w:tc>
      </w:tr>
      <w:tr w:rsidR="006D2A1E" w:rsidRPr="00C450A6" w:rsidTr="00B12215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A1E" w:rsidRPr="00C450A6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2010</w:t>
            </w:r>
          </w:p>
        </w:tc>
        <w:tc>
          <w:tcPr>
            <w:tcW w:w="4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1E" w:rsidRPr="00C450A6" w:rsidRDefault="006D2A1E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490</w:t>
            </w:r>
          </w:p>
        </w:tc>
      </w:tr>
      <w:tr w:rsidR="006D2A1E" w:rsidRPr="00C450A6" w:rsidTr="00B12215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A1E" w:rsidRPr="00C450A6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2011</w:t>
            </w:r>
          </w:p>
        </w:tc>
        <w:tc>
          <w:tcPr>
            <w:tcW w:w="4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1E" w:rsidRPr="00C450A6" w:rsidRDefault="006D2A1E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710</w:t>
            </w:r>
          </w:p>
        </w:tc>
      </w:tr>
      <w:tr w:rsidR="006D2A1E" w:rsidRPr="00C450A6" w:rsidTr="00B12215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A1E" w:rsidRPr="00C450A6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1E" w:rsidRPr="00C450A6" w:rsidRDefault="006D2A1E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640</w:t>
            </w:r>
          </w:p>
        </w:tc>
      </w:tr>
      <w:tr w:rsidR="006D2A1E" w:rsidRPr="00C450A6" w:rsidTr="00B12215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A1E" w:rsidRPr="00C450A6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1E" w:rsidRPr="00C450A6" w:rsidRDefault="006D2A1E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763</w:t>
            </w:r>
          </w:p>
        </w:tc>
      </w:tr>
      <w:tr w:rsidR="00670D4D" w:rsidRPr="00C450A6" w:rsidTr="00B12215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0D4D" w:rsidRPr="00C450A6" w:rsidRDefault="00670D4D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Pārbaudīto pārskatu skaits 2007-2013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4D" w:rsidRPr="00B12215" w:rsidRDefault="00670D4D" w:rsidP="006D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122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3 295</w:t>
            </w:r>
          </w:p>
        </w:tc>
      </w:tr>
      <w:tr w:rsidR="006D2A1E" w:rsidRPr="00C450A6" w:rsidTr="00B12215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A1E" w:rsidRPr="00C450A6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2014-2016</w:t>
            </w:r>
            <w:r w:rsidR="00670D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prognoze</w:t>
            </w:r>
          </w:p>
        </w:tc>
        <w:tc>
          <w:tcPr>
            <w:tcW w:w="4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A1E" w:rsidRPr="00C450A6" w:rsidRDefault="006D2A1E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1 230</w:t>
            </w:r>
          </w:p>
        </w:tc>
      </w:tr>
      <w:tr w:rsidR="00563F29" w:rsidRPr="00C450A6" w:rsidTr="00670D4D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3F29" w:rsidRDefault="00563F29" w:rsidP="006D2A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Paredzamo pārskatu skaits 2007-2013 plānošanas periodam</w:t>
            </w:r>
          </w:p>
        </w:tc>
        <w:tc>
          <w:tcPr>
            <w:tcW w:w="4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3F29" w:rsidRDefault="00563F29" w:rsidP="006D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3 998</w:t>
            </w:r>
          </w:p>
        </w:tc>
      </w:tr>
      <w:tr w:rsidR="006D2A1E" w:rsidRPr="00C450A6" w:rsidTr="00B12215">
        <w:trPr>
          <w:trHeight w:val="315"/>
          <w:jc w:val="center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A1E" w:rsidRPr="00B12215" w:rsidRDefault="006D2A1E" w:rsidP="006D2A1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122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4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2A1E" w:rsidRPr="00B12215" w:rsidRDefault="006D2A1E" w:rsidP="006D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122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4 525</w:t>
            </w:r>
          </w:p>
        </w:tc>
      </w:tr>
    </w:tbl>
    <w:p w:rsidR="00023015" w:rsidRPr="00C450A6" w:rsidRDefault="00023015" w:rsidP="0002301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42D55" w:rsidRPr="00C450A6" w:rsidRDefault="00942D55" w:rsidP="0002301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42D55" w:rsidRPr="00C450A6" w:rsidRDefault="006D2A1E" w:rsidP="00D547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ņemot vērā 2007. un 2008.gada datus par pārskatu skaitu 2004.-2006. plānošanas periodu, var secināt, ka 2016.gadā būs jānodrošina pārbaude </w:t>
      </w:r>
    </w:p>
    <w:p w:rsidR="00D54714" w:rsidRPr="00C450A6" w:rsidRDefault="00D54714" w:rsidP="0002301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54714" w:rsidRDefault="006D2A1E" w:rsidP="00D5471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199</w:t>
      </w:r>
      <w:r w:rsidR="00D54714" w:rsidRPr="00C450A6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328*100%</w:t>
      </w:r>
      <w:r w:rsidR="00D54714"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60,67% (vai 61%</w:t>
      </w:r>
      <w:r w:rsidR="00661BEE">
        <w:rPr>
          <w:rFonts w:ascii="Times New Roman" w:hAnsi="Times New Roman" w:cs="Times New Roman"/>
          <w:b/>
          <w:sz w:val="24"/>
          <w:szCs w:val="24"/>
          <w:lang w:val="lv-LV"/>
        </w:rPr>
        <w:t>, t.i. 0,61 daļa no kopēja skaita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</w:p>
    <w:p w:rsidR="006D2A1E" w:rsidRDefault="006D2A1E" w:rsidP="00D5471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D2A1E" w:rsidRPr="006D2A1E" w:rsidRDefault="006D2A1E" w:rsidP="006D2A1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D2A1E">
        <w:rPr>
          <w:rFonts w:ascii="Times New Roman" w:hAnsi="Times New Roman" w:cs="Times New Roman"/>
          <w:sz w:val="24"/>
          <w:szCs w:val="24"/>
          <w:lang w:val="lv-LV"/>
        </w:rPr>
        <w:t>no pārskatu skaita 2015.gadā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54714" w:rsidRPr="00C450A6" w:rsidRDefault="00D54714" w:rsidP="00D5471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D54714" w:rsidRPr="00C450A6" w:rsidRDefault="00D54714" w:rsidP="00D547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ņemot vērā </w:t>
      </w:r>
      <w:r w:rsidR="00661BEE">
        <w:rPr>
          <w:rFonts w:ascii="Times New Roman" w:hAnsi="Times New Roman" w:cs="Times New Roman"/>
          <w:sz w:val="24"/>
          <w:szCs w:val="24"/>
          <w:lang w:val="lv-LV"/>
        </w:rPr>
        <w:t>ka kopumā 2014-2016.gadā jāpārbauda  1 230 pārskatu un 2014.gadā un 2015.gadā varētu būt pārbaudīts salīdzinoši vienāds pārskatu skaits (X), tad kopumā ir</w:t>
      </w:r>
    </w:p>
    <w:p w:rsidR="00D54714" w:rsidRPr="00C450A6" w:rsidRDefault="00D54714" w:rsidP="00D5471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54714" w:rsidRDefault="00661BEE" w:rsidP="00D5471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X+X+0,61X = 1 230;</w:t>
      </w:r>
    </w:p>
    <w:p w:rsidR="00661BEE" w:rsidRDefault="00661BEE" w:rsidP="00D5471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2,61X = 1 230;</w:t>
      </w:r>
    </w:p>
    <w:p w:rsidR="00661BEE" w:rsidRDefault="00661BEE" w:rsidP="00661BE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X = 1 230/2,61;</w:t>
      </w:r>
    </w:p>
    <w:p w:rsidR="00661BEE" w:rsidRDefault="00661BEE" w:rsidP="00661BE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X = 471.</w:t>
      </w:r>
    </w:p>
    <w:p w:rsidR="00661BEE" w:rsidRDefault="00661BEE" w:rsidP="00661BE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70D4D" w:rsidRDefault="00661BEE" w:rsidP="00B1181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T. i. 471 pārskatu plānots pārbaudīt ikgadēji 2014. un 2015.gadā, bet 2016.gadā 471*0,61 = 288 pārskati</w:t>
      </w:r>
      <w:r w:rsidR="00670D4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70D4D" w:rsidRDefault="00670D4D" w:rsidP="00B1181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70D4D" w:rsidRPr="00B1181F" w:rsidRDefault="00670D4D" w:rsidP="00B1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1181F">
        <w:rPr>
          <w:rFonts w:ascii="Times New Roman" w:hAnsi="Times New Roman" w:cs="Times New Roman"/>
          <w:sz w:val="24"/>
          <w:szCs w:val="24"/>
          <w:lang w:val="lv-LV"/>
        </w:rPr>
        <w:t xml:space="preserve">ņemot vērā kā pašlaik pirmā līmeņa finanšu kontroli, atbilstoši informatīvajā ziņojuma minētajam, nodrošina 12 cilvēki, tad attiecīgi 1 cilvēka vidēji gadā pārbaudāmo pārskatu apjomu aprēķina sekojoši </w:t>
      </w:r>
    </w:p>
    <w:p w:rsidR="00670D4D" w:rsidRDefault="00670D4D" w:rsidP="00670D4D">
      <w:pPr>
        <w:pStyle w:val="ListParagraph"/>
        <w:ind w:left="717"/>
        <w:rPr>
          <w:rFonts w:ascii="Times New Roman" w:hAnsi="Times New Roman" w:cs="Times New Roman"/>
          <w:sz w:val="24"/>
          <w:szCs w:val="24"/>
          <w:lang w:val="lv-LV"/>
        </w:rPr>
      </w:pPr>
    </w:p>
    <w:p w:rsidR="00670D4D" w:rsidRPr="00C450A6" w:rsidRDefault="00670D4D" w:rsidP="00670D4D">
      <w:pPr>
        <w:pStyle w:val="ListParagraph"/>
        <w:ind w:left="127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pielikuma 1.sadaļas tabulā Nr.1 minēto pārbaudīto pārskatu skaits 2007-2013 , t.i., 3295 pārskati / pielikuma 1.sadaļas tabulā Nr.1 minēto gadu skaitu, kad tika veikta pārbaude, t.i., 7 gadi / cilvēku skaitu, kas nodrošināja šo pārskatu pārbaudi, t.i., 12 cilvēki</w:t>
      </w:r>
    </w:p>
    <w:p w:rsidR="00670D4D" w:rsidRDefault="00670D4D" w:rsidP="00670D4D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70D4D" w:rsidRDefault="00670D4D" w:rsidP="00670D4D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3295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12 = 39 pārskati.</w:t>
      </w:r>
    </w:p>
    <w:p w:rsidR="00B1181F" w:rsidRDefault="00B1181F" w:rsidP="00670D4D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1181F" w:rsidRDefault="00B1181F" w:rsidP="00B1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attiecīgi 2015.gadā aprēķināto 471 pārskatu pārbaudi ar esošo kapacitāti spēs nodrošināt</w:t>
      </w:r>
    </w:p>
    <w:p w:rsidR="00B1181F" w:rsidRDefault="00B1181F" w:rsidP="00B1181F">
      <w:pPr>
        <w:ind w:left="717"/>
        <w:rPr>
          <w:rFonts w:ascii="Times New Roman" w:hAnsi="Times New Roman" w:cs="Times New Roman"/>
          <w:sz w:val="24"/>
          <w:szCs w:val="24"/>
          <w:lang w:val="lv-LV"/>
        </w:rPr>
      </w:pPr>
    </w:p>
    <w:p w:rsidR="00B1181F" w:rsidRPr="00B1181F" w:rsidRDefault="00B1181F" w:rsidP="00B1181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471 / 39 = 12 cilvēki.</w:t>
      </w:r>
    </w:p>
    <w:p w:rsidR="00670D4D" w:rsidRPr="00B1181F" w:rsidRDefault="00670D4D" w:rsidP="00B1181F">
      <w:pPr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:rsidR="00D54714" w:rsidRPr="00C450A6" w:rsidRDefault="00D54714" w:rsidP="00B1181F">
      <w:pPr>
        <w:ind w:left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2501" w:rsidRPr="00C450A6" w:rsidRDefault="00C450A6" w:rsidP="00D54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Aprēķins par pārskatu skaitu </w:t>
      </w:r>
      <w:r w:rsidR="00D54714" w:rsidRPr="00C450A6">
        <w:rPr>
          <w:rFonts w:ascii="Times New Roman" w:hAnsi="Times New Roman" w:cs="Times New Roman"/>
          <w:b/>
          <w:sz w:val="24"/>
          <w:szCs w:val="24"/>
          <w:lang w:val="lv-LV"/>
        </w:rPr>
        <w:t>2014.-2020.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gadu </w:t>
      </w:r>
      <w:r w:rsidR="00D54714" w:rsidRPr="00C450A6">
        <w:rPr>
          <w:rFonts w:ascii="Times New Roman" w:hAnsi="Times New Roman" w:cs="Times New Roman"/>
          <w:b/>
          <w:sz w:val="24"/>
          <w:szCs w:val="24"/>
          <w:lang w:val="lv-LV"/>
        </w:rPr>
        <w:t>plānošanas perioda projektiem</w:t>
      </w:r>
    </w:p>
    <w:p w:rsidR="00D54714" w:rsidRPr="00C450A6" w:rsidRDefault="00CC57DF" w:rsidP="005C2501">
      <w:pPr>
        <w:pStyle w:val="ListParagraph"/>
        <w:ind w:left="71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5C2501" w:rsidRPr="00C450A6" w:rsidRDefault="00C450A6" w:rsidP="005C250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5C2501" w:rsidRPr="00C450A6">
        <w:rPr>
          <w:rFonts w:ascii="Times New Roman" w:hAnsi="Times New Roman" w:cs="Times New Roman"/>
          <w:sz w:val="24"/>
          <w:szCs w:val="24"/>
          <w:lang w:val="lv-LV"/>
        </w:rPr>
        <w:t>abula Nr.2</w:t>
      </w:r>
    </w:p>
    <w:p w:rsidR="005C2501" w:rsidRPr="00C450A6" w:rsidRDefault="005C2501" w:rsidP="005C2501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54714" w:rsidRPr="00C450A6" w:rsidRDefault="005C2501" w:rsidP="005C250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Pārskatu skaits un finansējuma apjoms pa plānošanas periodiem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4033"/>
        <w:gridCol w:w="2082"/>
      </w:tblGrid>
      <w:tr w:rsidR="00D54714" w:rsidRPr="00C450A6" w:rsidTr="00122141">
        <w:trPr>
          <w:jc w:val="center"/>
        </w:trPr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D54714" w:rsidRPr="00C450A6" w:rsidRDefault="00D54714" w:rsidP="00C450A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Periods</w:t>
            </w:r>
          </w:p>
        </w:tc>
        <w:tc>
          <w:tcPr>
            <w:tcW w:w="4033" w:type="dxa"/>
            <w:shd w:val="clear" w:color="auto" w:fill="F2F2F2" w:themeFill="background1" w:themeFillShade="F2"/>
            <w:vAlign w:val="center"/>
          </w:tcPr>
          <w:p w:rsidR="00D54714" w:rsidRPr="00C450A6" w:rsidRDefault="00563F29" w:rsidP="00563F2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Plānotā </w:t>
            </w:r>
            <w:r w:rsidR="00D54714" w:rsidRPr="00C450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izdevumu summa LV partneriem, milj. </w:t>
            </w:r>
            <w:r w:rsidR="00D54714" w:rsidRPr="00C450A6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D54714" w:rsidRPr="00C450A6" w:rsidRDefault="00D54714" w:rsidP="00C450A6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Pārskatu skaits</w:t>
            </w:r>
          </w:p>
        </w:tc>
      </w:tr>
      <w:tr w:rsidR="00D54714" w:rsidRPr="00C450A6" w:rsidTr="00122141">
        <w:trPr>
          <w:jc w:val="center"/>
        </w:trPr>
        <w:tc>
          <w:tcPr>
            <w:tcW w:w="2406" w:type="dxa"/>
            <w:shd w:val="clear" w:color="auto" w:fill="F2F2F2" w:themeFill="background1" w:themeFillShade="F2"/>
          </w:tcPr>
          <w:p w:rsidR="00D54714" w:rsidRPr="00C450A6" w:rsidRDefault="00D54714" w:rsidP="007617B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2007.-2013.</w:t>
            </w:r>
            <w:r w:rsidR="00C450A6"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gada </w:t>
            </w: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plānošanas periods</w:t>
            </w:r>
          </w:p>
        </w:tc>
        <w:tc>
          <w:tcPr>
            <w:tcW w:w="4033" w:type="dxa"/>
          </w:tcPr>
          <w:p w:rsidR="00D54714" w:rsidRPr="00C450A6" w:rsidRDefault="009670EE" w:rsidP="007617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 w:rsidR="00D54714"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,63</w:t>
            </w:r>
          </w:p>
        </w:tc>
        <w:tc>
          <w:tcPr>
            <w:tcW w:w="2082" w:type="dxa"/>
          </w:tcPr>
          <w:p w:rsidR="00D54714" w:rsidRPr="00C450A6" w:rsidRDefault="009670EE" w:rsidP="007617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3 998</w:t>
            </w:r>
          </w:p>
        </w:tc>
      </w:tr>
      <w:tr w:rsidR="00D54714" w:rsidRPr="00C450A6" w:rsidTr="00122141">
        <w:trPr>
          <w:jc w:val="center"/>
        </w:trPr>
        <w:tc>
          <w:tcPr>
            <w:tcW w:w="2406" w:type="dxa"/>
            <w:shd w:val="clear" w:color="auto" w:fill="F2F2F2" w:themeFill="background1" w:themeFillShade="F2"/>
          </w:tcPr>
          <w:p w:rsidR="00D54714" w:rsidRPr="00C450A6" w:rsidRDefault="00D54714" w:rsidP="007617B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2014.-2020.</w:t>
            </w:r>
            <w:r w:rsidR="00C450A6"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</w:t>
            </w: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plānošanas periods</w:t>
            </w:r>
          </w:p>
        </w:tc>
        <w:tc>
          <w:tcPr>
            <w:tcW w:w="4033" w:type="dxa"/>
          </w:tcPr>
          <w:p w:rsidR="00D54714" w:rsidRPr="00C450A6" w:rsidRDefault="00D54714" w:rsidP="007617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138,0</w:t>
            </w:r>
          </w:p>
        </w:tc>
        <w:tc>
          <w:tcPr>
            <w:tcW w:w="2082" w:type="dxa"/>
          </w:tcPr>
          <w:p w:rsidR="00D54714" w:rsidRPr="00C450A6" w:rsidRDefault="00D54714" w:rsidP="007617B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5 48</w:t>
            </w:r>
            <w:r w:rsidR="00563F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</w:tbl>
    <w:p w:rsidR="00D54714" w:rsidRPr="00C450A6" w:rsidRDefault="00D54714" w:rsidP="00D54714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54714" w:rsidRPr="00C450A6" w:rsidRDefault="00D54714" w:rsidP="00D547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2007.-2013. gada plānošanas perioda kopējais pārbaudītais finansējums Latvijas partneriem ir </w:t>
      </w:r>
      <w:r w:rsidR="00563F29">
        <w:rPr>
          <w:rFonts w:ascii="Times New Roman" w:hAnsi="Times New Roman" w:cs="Times New Roman"/>
          <w:sz w:val="24"/>
          <w:szCs w:val="24"/>
          <w:lang w:val="lv-LV"/>
        </w:rPr>
        <w:t>100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,63 milj. </w:t>
      </w:r>
      <w:r w:rsidRPr="00C450A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563F29">
        <w:rPr>
          <w:rFonts w:ascii="Times New Roman" w:hAnsi="Times New Roman" w:cs="Times New Roman"/>
          <w:sz w:val="24"/>
          <w:szCs w:val="24"/>
          <w:lang w:val="lv-LV"/>
        </w:rPr>
        <w:t xml:space="preserve">paredzamais kopējais 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pārskatu skaits ir </w:t>
      </w:r>
      <w:r w:rsidR="00563F29">
        <w:rPr>
          <w:rFonts w:ascii="Times New Roman" w:hAnsi="Times New Roman" w:cs="Times New Roman"/>
          <w:sz w:val="24"/>
          <w:szCs w:val="24"/>
          <w:lang w:val="lv-LV"/>
        </w:rPr>
        <w:t>3 998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.  </w:t>
      </w:r>
    </w:p>
    <w:p w:rsidR="00D54714" w:rsidRPr="00C450A6" w:rsidRDefault="00D54714" w:rsidP="00C45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Ja 2014 - 2020.gada plānošanas perioda kopējas finansējums ir ~138,0 milj </w:t>
      </w:r>
      <w:r w:rsidRPr="00C450A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r w:rsidR="00C450A6">
        <w:rPr>
          <w:rFonts w:ascii="Times New Roman" w:hAnsi="Times New Roman" w:cs="Times New Roman"/>
          <w:sz w:val="24"/>
          <w:szCs w:val="24"/>
          <w:lang w:val="lv-LV"/>
        </w:rPr>
        <w:t>, paredzamo pārskatu skaitu aprēķina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 proporcionāli </w:t>
      </w:r>
      <w:r w:rsidR="00C450A6">
        <w:rPr>
          <w:rFonts w:ascii="Times New Roman" w:hAnsi="Times New Roman" w:cs="Times New Roman"/>
          <w:sz w:val="24"/>
          <w:szCs w:val="24"/>
          <w:lang w:val="lv-LV"/>
        </w:rPr>
        <w:t xml:space="preserve">atbilstoši finansējuma apjomam 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>pēc formulas:</w:t>
      </w:r>
    </w:p>
    <w:p w:rsidR="00D54714" w:rsidRPr="00C450A6" w:rsidRDefault="00D54714" w:rsidP="00D54714">
      <w:pPr>
        <w:pStyle w:val="ListParagraph"/>
        <w:ind w:left="717"/>
        <w:rPr>
          <w:rFonts w:ascii="Times New Roman" w:hAnsi="Times New Roman" w:cs="Times New Roman"/>
          <w:sz w:val="24"/>
          <w:szCs w:val="24"/>
          <w:lang w:val="lv-LV"/>
        </w:rPr>
      </w:pPr>
    </w:p>
    <w:p w:rsidR="00D54714" w:rsidRDefault="00D54714" w:rsidP="00D54714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C=(AxD)/B, </w:t>
      </w:r>
      <w:r w:rsidR="00C450A6">
        <w:rPr>
          <w:rFonts w:ascii="Times New Roman" w:hAnsi="Times New Roman" w:cs="Times New Roman"/>
          <w:b/>
          <w:sz w:val="24"/>
          <w:szCs w:val="24"/>
          <w:lang w:val="lv-LV"/>
        </w:rPr>
        <w:t>kur</w:t>
      </w:r>
    </w:p>
    <w:p w:rsidR="00C450A6" w:rsidRPr="00C450A6" w:rsidRDefault="00C450A6" w:rsidP="00D54714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450A6" w:rsidRPr="00C450A6" w:rsidRDefault="00C450A6" w:rsidP="00C450A6">
      <w:pPr>
        <w:pStyle w:val="ListParagraph"/>
        <w:ind w:left="717"/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A – pārskatu skaits 2007.-2013.gada plānošanas periodā, t.i. </w:t>
      </w:r>
      <w:r w:rsidR="00563F29">
        <w:rPr>
          <w:rFonts w:ascii="Times New Roman" w:hAnsi="Times New Roman" w:cs="Times New Roman"/>
          <w:sz w:val="24"/>
          <w:szCs w:val="24"/>
          <w:lang w:val="lv-LV"/>
        </w:rPr>
        <w:t>3 998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C450A6" w:rsidRPr="00C450A6" w:rsidRDefault="00C450A6" w:rsidP="00C450A6">
      <w:pPr>
        <w:pStyle w:val="ListParagraph"/>
        <w:ind w:left="717"/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B – apstiprinātā izdevumu summa LV partneriem (milj. </w:t>
      </w:r>
      <w:r w:rsidRPr="00C450A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) 2007.-2013.gada plānošanas periodā, t.i. </w:t>
      </w:r>
      <w:r w:rsidR="00563F29">
        <w:rPr>
          <w:rFonts w:ascii="Times New Roman" w:hAnsi="Times New Roman" w:cs="Times New Roman"/>
          <w:sz w:val="24"/>
          <w:szCs w:val="24"/>
          <w:lang w:val="lv-LV"/>
        </w:rPr>
        <w:t> 100,63</w:t>
      </w:r>
      <w:r w:rsidR="00563F29"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milj. </w:t>
      </w:r>
      <w:r w:rsidRPr="00C450A6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C450A6" w:rsidRPr="00C450A6" w:rsidRDefault="00C450A6" w:rsidP="00C450A6">
      <w:pPr>
        <w:pStyle w:val="ListParagraph"/>
        <w:ind w:left="717"/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>C – paredzam</w:t>
      </w:r>
      <w:r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 pārskatu skaits 2014.-2020.gada plānošanas periodā,</w:t>
      </w:r>
    </w:p>
    <w:p w:rsidR="00C450A6" w:rsidRPr="00C450A6" w:rsidRDefault="00C450A6" w:rsidP="00C450A6">
      <w:pPr>
        <w:pStyle w:val="ListParagraph"/>
        <w:ind w:left="717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>D – plānotā</w:t>
      </w:r>
      <w:r w:rsidRPr="00B1221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izdevumu summa LV partneriem (milj. </w:t>
      </w:r>
      <w:r w:rsidRPr="00C450A6">
        <w:rPr>
          <w:rFonts w:ascii="Times New Roman" w:hAnsi="Times New Roman" w:cs="Times New Roman"/>
          <w:i/>
          <w:sz w:val="24"/>
          <w:szCs w:val="24"/>
          <w:lang w:val="lv-LV"/>
        </w:rPr>
        <w:t>euro)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 2014.-2020.gada plānošanas periodā, t.i. 138,0 milj. </w:t>
      </w:r>
      <w:r w:rsidRPr="00C450A6">
        <w:rPr>
          <w:rFonts w:ascii="Times New Roman" w:hAnsi="Times New Roman" w:cs="Times New Roman"/>
          <w:i/>
          <w:sz w:val="24"/>
          <w:szCs w:val="24"/>
          <w:lang w:val="lv-LV"/>
        </w:rPr>
        <w:t>euro.</w:t>
      </w:r>
    </w:p>
    <w:p w:rsidR="00D54714" w:rsidRPr="00C450A6" w:rsidRDefault="00D54714" w:rsidP="00D54714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54714" w:rsidRPr="00C450A6" w:rsidRDefault="00D54714" w:rsidP="00D54714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C = (</w:t>
      </w:r>
      <w:r w:rsidR="00563F29">
        <w:rPr>
          <w:rFonts w:ascii="Times New Roman" w:hAnsi="Times New Roman" w:cs="Times New Roman"/>
          <w:b/>
          <w:sz w:val="24"/>
          <w:szCs w:val="24"/>
          <w:lang w:val="lv-LV"/>
        </w:rPr>
        <w:t>3 998</w:t>
      </w:r>
      <w:r w:rsidR="00563F29"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x 138,0 milj </w:t>
      </w:r>
      <w:r w:rsidRPr="00C450A6">
        <w:rPr>
          <w:rFonts w:ascii="Times New Roman" w:hAnsi="Times New Roman" w:cs="Times New Roman"/>
          <w:b/>
          <w:i/>
          <w:sz w:val="24"/>
          <w:szCs w:val="24"/>
          <w:lang w:val="lv-LV"/>
        </w:rPr>
        <w:t>euro)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r w:rsidR="00563F29">
        <w:rPr>
          <w:rFonts w:ascii="Times New Roman" w:hAnsi="Times New Roman" w:cs="Times New Roman"/>
          <w:b/>
          <w:sz w:val="24"/>
          <w:szCs w:val="24"/>
          <w:lang w:val="lv-LV"/>
        </w:rPr>
        <w:t>100,63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= 5 48</w:t>
      </w:r>
      <w:r w:rsidR="00563F29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</w:p>
    <w:p w:rsidR="00D54714" w:rsidRPr="00C450A6" w:rsidRDefault="00D54714" w:rsidP="00D5471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54714" w:rsidRPr="00C450A6" w:rsidRDefault="00D54714" w:rsidP="00D5471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54714" w:rsidRPr="00C450A6" w:rsidRDefault="00C450A6" w:rsidP="00CC5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Aprēķins par nepieciešamu štata vietu skaitu</w:t>
      </w:r>
      <w:r w:rsidR="00CC57DF"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funkcijas veikšanai</w:t>
      </w:r>
    </w:p>
    <w:p w:rsidR="0094131E" w:rsidRPr="00C450A6" w:rsidRDefault="0094131E" w:rsidP="0094131E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4131E" w:rsidRDefault="006F3690" w:rsidP="009413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Kopējo pārbaudāmo pārskatu skaitu</w:t>
      </w:r>
      <w:r w:rsidR="0094131E"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 no 201</w:t>
      </w:r>
      <w:r w:rsidR="00EF77F4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94131E" w:rsidRPr="00C450A6">
        <w:rPr>
          <w:rFonts w:ascii="Times New Roman" w:hAnsi="Times New Roman" w:cs="Times New Roman"/>
          <w:sz w:val="24"/>
          <w:szCs w:val="24"/>
          <w:lang w:val="lv-LV"/>
        </w:rPr>
        <w:t>.gada līdz 2022.gadam (ņemot vērā, ka 2014.-2020.gada plānošanas perioda projektu pārbaude</w:t>
      </w:r>
      <w:r w:rsidR="005C2501"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 līdzīgi kā 2007.-2013.</w:t>
      </w:r>
      <w:r w:rsidR="00C450A6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5C2501"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plānošanas periodam notiks 2 gadus pēc perioda beigām) </w:t>
      </w:r>
      <w:r>
        <w:rPr>
          <w:rFonts w:ascii="Times New Roman" w:hAnsi="Times New Roman" w:cs="Times New Roman"/>
          <w:sz w:val="24"/>
          <w:szCs w:val="24"/>
          <w:lang w:val="lv-LV"/>
        </w:rPr>
        <w:t>aprēķina sekojoši</w:t>
      </w:r>
      <w:r w:rsidR="000E2C95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0E2C95" w:rsidRDefault="000E2C95" w:rsidP="000E2C95">
      <w:pPr>
        <w:ind w:left="717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708"/>
        <w:gridCol w:w="4120"/>
      </w:tblGrid>
      <w:tr w:rsidR="00B33988" w:rsidRPr="004E5FA8" w:rsidTr="00B33988">
        <w:tc>
          <w:tcPr>
            <w:tcW w:w="4146" w:type="dxa"/>
            <w:shd w:val="clear" w:color="auto" w:fill="auto"/>
            <w:vAlign w:val="center"/>
          </w:tcPr>
          <w:p w:rsidR="000E2C95" w:rsidRPr="00C73D47" w:rsidRDefault="000E2C95" w:rsidP="000E2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73D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Paredzamo pārskatu skaits 2014.-2020.gada plānošanas perioda projektiem, kas tika aprēķināts šī pielikumā 2.sadaļas b) punktā</w:t>
            </w:r>
          </w:p>
          <w:p w:rsidR="000E2C95" w:rsidRPr="00C73D47" w:rsidRDefault="000E2C95" w:rsidP="000E2C9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C95" w:rsidRPr="00C73D47" w:rsidRDefault="000E2C95" w:rsidP="000E2C9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73D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E2C95" w:rsidRPr="00C73D47" w:rsidRDefault="000E2C95" w:rsidP="00EF77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73D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Paredzamo pārskatu skaits 2007.-2013.gada plānošanas perioda projektiem, kuru plānots pārbaudīt 2016.gadā, kas tika aprēķināts šī pielikumā 1.sadaļas b) punktā</w:t>
            </w:r>
          </w:p>
        </w:tc>
      </w:tr>
    </w:tbl>
    <w:p w:rsidR="000E2C95" w:rsidRPr="000E2C95" w:rsidRDefault="000E2C95" w:rsidP="000E2C9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450A6" w:rsidRPr="00654219" w:rsidRDefault="00B33988" w:rsidP="00B33988">
      <w:pPr>
        <w:ind w:left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54219">
        <w:rPr>
          <w:rFonts w:ascii="Times New Roman" w:hAnsi="Times New Roman" w:cs="Times New Roman"/>
          <w:sz w:val="24"/>
          <w:szCs w:val="24"/>
          <w:lang w:val="lv-LV"/>
        </w:rPr>
        <w:t>vai</w:t>
      </w:r>
    </w:p>
    <w:p w:rsidR="005C2501" w:rsidRPr="00C450A6" w:rsidRDefault="005C2501" w:rsidP="005C250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C2501" w:rsidRPr="00C450A6" w:rsidRDefault="005C2501" w:rsidP="005C250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548</w:t>
      </w:r>
      <w:r w:rsidR="00EF77F4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+ </w:t>
      </w:r>
      <w:r w:rsidR="00EF77F4">
        <w:rPr>
          <w:rFonts w:ascii="Times New Roman" w:hAnsi="Times New Roman" w:cs="Times New Roman"/>
          <w:b/>
          <w:sz w:val="24"/>
          <w:szCs w:val="24"/>
          <w:lang w:val="lv-LV"/>
        </w:rPr>
        <w:t>288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= </w:t>
      </w:r>
      <w:r w:rsidR="00EF77F4">
        <w:rPr>
          <w:rFonts w:ascii="Times New Roman" w:hAnsi="Times New Roman" w:cs="Times New Roman"/>
          <w:b/>
          <w:sz w:val="24"/>
          <w:szCs w:val="24"/>
          <w:lang w:val="lv-LV"/>
        </w:rPr>
        <w:t>5 771</w:t>
      </w:r>
      <w:r w:rsidR="00EF77F4"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450A6">
        <w:rPr>
          <w:rFonts w:ascii="Times New Roman" w:hAnsi="Times New Roman" w:cs="Times New Roman"/>
          <w:b/>
          <w:sz w:val="24"/>
          <w:szCs w:val="24"/>
          <w:lang w:val="lv-LV"/>
        </w:rPr>
        <w:t>pārskati</w:t>
      </w:r>
      <w:r w:rsidR="008512BC" w:rsidRPr="00C450A6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</w:p>
    <w:p w:rsidR="005C2501" w:rsidRPr="00C450A6" w:rsidRDefault="005C2501" w:rsidP="005C250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2501" w:rsidRPr="00C450A6" w:rsidRDefault="005C2501" w:rsidP="005C250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2501" w:rsidRPr="00C450A6" w:rsidRDefault="005C2501" w:rsidP="005C250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C2501" w:rsidRPr="00C450A6" w:rsidRDefault="005C2501" w:rsidP="005C2501">
      <w:pPr>
        <w:ind w:left="717"/>
        <w:contextualSpacing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8512BC" w:rsidRPr="00C450A6" w:rsidRDefault="008512BC" w:rsidP="008512BC">
      <w:pPr>
        <w:pStyle w:val="ListParagraph"/>
        <w:ind w:left="7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1760A" w:rsidRDefault="000F7179" w:rsidP="001176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lai nodrošinātu pielikumā 3.sadaļas a) punktā minēto pārskatu apjomu minētajā laika periodā pārbaudi (t.i. </w:t>
      </w:r>
      <w:r w:rsidR="00A62F23">
        <w:rPr>
          <w:rFonts w:ascii="Times New Roman" w:hAnsi="Times New Roman" w:cs="Times New Roman"/>
          <w:sz w:val="24"/>
          <w:szCs w:val="24"/>
          <w:lang w:val="lv-LV"/>
        </w:rPr>
        <w:t>5771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) ar </w:t>
      </w:r>
      <w:r w:rsidR="00A62F2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.sadaļas c) punktā minēto darba intensitāti </w:t>
      </w:r>
      <w:r w:rsidR="0011760A">
        <w:rPr>
          <w:rFonts w:ascii="Times New Roman" w:hAnsi="Times New Roman" w:cs="Times New Roman"/>
          <w:sz w:val="24"/>
          <w:szCs w:val="24"/>
          <w:lang w:val="lv-LV"/>
        </w:rPr>
        <w:t>ir nepieciešamas štata vietas, kuras aprēķina sekojoši</w:t>
      </w:r>
    </w:p>
    <w:p w:rsidR="0011760A" w:rsidRDefault="0011760A" w:rsidP="0011760A">
      <w:pPr>
        <w:pStyle w:val="ListParagraph"/>
        <w:ind w:left="717"/>
        <w:rPr>
          <w:rFonts w:ascii="Times New Roman" w:hAnsi="Times New Roman" w:cs="Times New Roman"/>
          <w:sz w:val="24"/>
          <w:szCs w:val="24"/>
          <w:lang w:val="lv-LV"/>
        </w:rPr>
      </w:pPr>
    </w:p>
    <w:p w:rsidR="0011760A" w:rsidRPr="00654219" w:rsidRDefault="0011760A" w:rsidP="0011760A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pielikuma 3.sadaļas a) punktā iegūto pārskatu skaitu, t.i., </w:t>
      </w:r>
      <w:r w:rsidR="00A62F23">
        <w:rPr>
          <w:rFonts w:ascii="Times New Roman" w:hAnsi="Times New Roman" w:cs="Times New Roman"/>
          <w:sz w:val="24"/>
          <w:szCs w:val="24"/>
          <w:lang w:val="lv-LV"/>
        </w:rPr>
        <w:t xml:space="preserve">5771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pārskati 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 xml:space="preserve">/ pielikuma 3.sadaļas </w:t>
      </w:r>
      <w:r w:rsidR="00B33988" w:rsidRPr="0065421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 xml:space="preserve">) punktā minēto </w:t>
      </w:r>
      <w:r w:rsidR="00B33988" w:rsidRPr="00654219">
        <w:rPr>
          <w:rFonts w:ascii="Times New Roman" w:hAnsi="Times New Roman" w:cs="Times New Roman"/>
          <w:sz w:val="24"/>
          <w:szCs w:val="24"/>
          <w:lang w:val="lv-LV"/>
        </w:rPr>
        <w:t>periodu, kad jānodrošina pārskatu pārbaudi gan 2007.-2013. gan 2014.-2020. plānošanas periodu projektiem</w:t>
      </w:r>
      <w:r w:rsidR="004509B0" w:rsidRPr="00654219">
        <w:rPr>
          <w:rFonts w:ascii="Times New Roman" w:hAnsi="Times New Roman" w:cs="Times New Roman"/>
          <w:sz w:val="24"/>
          <w:szCs w:val="24"/>
          <w:lang w:val="lv-LV"/>
        </w:rPr>
        <w:t>, t.i. no 201</w:t>
      </w:r>
      <w:r w:rsidR="00A62F23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4509B0" w:rsidRPr="00654219">
        <w:rPr>
          <w:rFonts w:ascii="Times New Roman" w:hAnsi="Times New Roman" w:cs="Times New Roman"/>
          <w:sz w:val="24"/>
          <w:szCs w:val="24"/>
          <w:lang w:val="lv-LV"/>
        </w:rPr>
        <w:t xml:space="preserve">. līdz 2022.gadam vai 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62F23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 xml:space="preserve"> gadi / </w:t>
      </w:r>
      <w:r w:rsidR="00A62F2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>.sadaļas c) punktā minētā darba intensitāte, t.i., 39 pārskati</w:t>
      </w:r>
    </w:p>
    <w:p w:rsidR="000F7179" w:rsidRPr="00654219" w:rsidRDefault="000F7179" w:rsidP="000F7179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0F7179" w:rsidRDefault="00A62F23" w:rsidP="000F717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5771</w:t>
      </w:r>
      <w:r w:rsidR="006F36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F7179" w:rsidRPr="00C450A6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r w:rsidR="006F36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7</w:t>
      </w:r>
      <w:r w:rsidR="006F36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F7179" w:rsidRPr="00C450A6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r w:rsidR="006F36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F7179" w:rsidRPr="00C450A6">
        <w:rPr>
          <w:rFonts w:ascii="Times New Roman" w:hAnsi="Times New Roman" w:cs="Times New Roman"/>
          <w:b/>
          <w:sz w:val="24"/>
          <w:szCs w:val="24"/>
          <w:lang w:val="lv-LV"/>
        </w:rPr>
        <w:t>39 = 21 cilvēks</w:t>
      </w:r>
    </w:p>
    <w:p w:rsidR="00A62F23" w:rsidRDefault="00A62F23" w:rsidP="000F717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62F23" w:rsidRDefault="00A62F23" w:rsidP="00A62F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savukārt, lai nodrošinātu </w:t>
      </w:r>
      <w:r w:rsidR="00042BE6">
        <w:rPr>
          <w:rFonts w:ascii="Times New Roman" w:hAnsi="Times New Roman" w:cs="Times New Roman"/>
          <w:sz w:val="24"/>
          <w:szCs w:val="24"/>
          <w:lang w:val="lv-LV"/>
        </w:rPr>
        <w:t xml:space="preserve">tikai jaunā plānošanas perioda projektu pārskatu pārbaude, t.i., </w:t>
      </w:r>
      <w:r>
        <w:rPr>
          <w:rFonts w:ascii="Times New Roman" w:hAnsi="Times New Roman" w:cs="Times New Roman"/>
          <w:sz w:val="24"/>
          <w:szCs w:val="24"/>
          <w:lang w:val="lv-LV"/>
        </w:rPr>
        <w:t>pielikumā 2.sadaļas b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) punktā minēto pārskatu apjomu laika periodā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no 2016.gada līdz 2022.gadam 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pārbaudi (t.i. </w:t>
      </w:r>
      <w:r>
        <w:rPr>
          <w:rFonts w:ascii="Times New Roman" w:hAnsi="Times New Roman" w:cs="Times New Roman"/>
          <w:sz w:val="24"/>
          <w:szCs w:val="24"/>
          <w:lang w:val="lv-LV"/>
        </w:rPr>
        <w:t>5483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) ar </w:t>
      </w: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C450A6">
        <w:rPr>
          <w:rFonts w:ascii="Times New Roman" w:hAnsi="Times New Roman" w:cs="Times New Roman"/>
          <w:sz w:val="24"/>
          <w:szCs w:val="24"/>
          <w:lang w:val="lv-LV"/>
        </w:rPr>
        <w:t xml:space="preserve">.sadaļas c) punktā minēto darba intensitāti </w:t>
      </w:r>
      <w:r>
        <w:rPr>
          <w:rFonts w:ascii="Times New Roman" w:hAnsi="Times New Roman" w:cs="Times New Roman"/>
          <w:sz w:val="24"/>
          <w:szCs w:val="24"/>
          <w:lang w:val="lv-LV"/>
        </w:rPr>
        <w:t>ir nepieciešamas štata vietas, kuras aprēķina sekojoši</w:t>
      </w:r>
    </w:p>
    <w:p w:rsidR="00A62F23" w:rsidRDefault="00A62F23" w:rsidP="00A62F23">
      <w:pPr>
        <w:pStyle w:val="ListParagraph"/>
        <w:ind w:left="717"/>
        <w:rPr>
          <w:rFonts w:ascii="Times New Roman" w:hAnsi="Times New Roman" w:cs="Times New Roman"/>
          <w:sz w:val="24"/>
          <w:szCs w:val="24"/>
          <w:lang w:val="lv-LV"/>
        </w:rPr>
      </w:pPr>
    </w:p>
    <w:p w:rsidR="00A62F23" w:rsidRPr="00654219" w:rsidRDefault="00A62F23" w:rsidP="00A62F23">
      <w:pPr>
        <w:pStyle w:val="ListParagraph"/>
        <w:ind w:left="7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pielikuma 2.sadaļas b) punktā iegūto pārskatu skaitu, t.i., 5483 pārskati 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>/ pielikuma 3.sadaļas a) punktā minēto periodu, kad jānodrošina pārskatu pārbaudi 2014.-2020. plānošanas periodu projektiem, t.i. no 201</w:t>
      </w:r>
      <w:r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 xml:space="preserve">. līdz 2022.gadam vai  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 xml:space="preserve"> gadi / </w:t>
      </w: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654219">
        <w:rPr>
          <w:rFonts w:ascii="Times New Roman" w:hAnsi="Times New Roman" w:cs="Times New Roman"/>
          <w:sz w:val="24"/>
          <w:szCs w:val="24"/>
          <w:lang w:val="lv-LV"/>
        </w:rPr>
        <w:t>.sadaļas c) punktā minētā darba intensitāte, t.i., 39 pārskati</w:t>
      </w:r>
    </w:p>
    <w:p w:rsidR="00A62F23" w:rsidRPr="00654219" w:rsidRDefault="00A62F23" w:rsidP="00A62F2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62F23" w:rsidRPr="00C450A6" w:rsidRDefault="00042BE6" w:rsidP="00A62F23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5483</w:t>
      </w:r>
      <w:r w:rsidR="00A62F2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62F23" w:rsidRPr="00C450A6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r w:rsidR="00A62F2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7 </w:t>
      </w:r>
      <w:r w:rsidR="00A62F23" w:rsidRPr="00C450A6">
        <w:rPr>
          <w:rFonts w:ascii="Times New Roman" w:hAnsi="Times New Roman" w:cs="Times New Roman"/>
          <w:b/>
          <w:sz w:val="24"/>
          <w:szCs w:val="24"/>
          <w:lang w:val="lv-LV"/>
        </w:rPr>
        <w:t>/</w:t>
      </w:r>
      <w:r w:rsidR="00A62F2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39 = 20</w:t>
      </w:r>
      <w:r w:rsidR="00A62F23" w:rsidRPr="00C450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cilvēks</w:t>
      </w:r>
    </w:p>
    <w:p w:rsidR="00A62F23" w:rsidRPr="00A62F23" w:rsidRDefault="00A62F23" w:rsidP="00A62F23">
      <w:pPr>
        <w:ind w:left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512BC" w:rsidRPr="00C450A6" w:rsidRDefault="008512BC" w:rsidP="0002301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D6C52" w:rsidRPr="00C450A6" w:rsidRDefault="00ED6C52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ED6C52" w:rsidRPr="00C450A6" w:rsidSect="00C45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325" w:bottom="1134" w:left="1800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06" w:rsidRDefault="00821206" w:rsidP="00942D55">
      <w:r>
        <w:separator/>
      </w:r>
    </w:p>
  </w:endnote>
  <w:endnote w:type="continuationSeparator" w:id="0">
    <w:p w:rsidR="00821206" w:rsidRDefault="00821206" w:rsidP="009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2F" w:rsidRDefault="00F26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23" w:rsidRPr="004B67DB" w:rsidRDefault="00F26A2F" w:rsidP="007617B8">
    <w:pPr>
      <w:pStyle w:val="Footer"/>
      <w:ind w:left="0"/>
      <w:rPr>
        <w:rFonts w:ascii="Times New Roman" w:eastAsia="Calibri" w:hAnsi="Times New Roman" w:cs="Times New Roman"/>
        <w:sz w:val="20"/>
        <w:szCs w:val="20"/>
        <w:lang w:val="lv-LV"/>
      </w:rPr>
    </w:pPr>
    <w:r w:rsidRPr="004B67DB">
      <w:rPr>
        <w:rFonts w:ascii="Times New Roman" w:eastAsia="Calibri" w:hAnsi="Times New Roman" w:cs="Times New Roman"/>
        <w:sz w:val="20"/>
        <w:szCs w:val="20"/>
        <w:lang w:val="lv-LV"/>
      </w:rPr>
      <w:t>VARAM</w:t>
    </w:r>
    <w:r>
      <w:rPr>
        <w:rFonts w:ascii="Times New Roman" w:eastAsia="Calibri" w:hAnsi="Times New Roman" w:cs="Times New Roman"/>
        <w:sz w:val="20"/>
        <w:szCs w:val="20"/>
        <w:lang w:val="lv-LV"/>
      </w:rPr>
      <w:t>ZINOpiel_2210</w:t>
    </w:r>
    <w:r w:rsidRPr="006B1E51">
      <w:rPr>
        <w:rFonts w:ascii="Times New Roman" w:eastAsia="Calibri" w:hAnsi="Times New Roman" w:cs="Times New Roman"/>
        <w:sz w:val="20"/>
        <w:szCs w:val="20"/>
        <w:lang w:val="lv-LV"/>
      </w:rPr>
      <w:t>2014</w:t>
    </w:r>
    <w:r w:rsidR="00A62F23" w:rsidRPr="001B7731">
      <w:rPr>
        <w:rFonts w:ascii="Times New Roman" w:eastAsia="Calibri" w:hAnsi="Times New Roman" w:cs="Times New Roman"/>
        <w:sz w:val="20"/>
        <w:szCs w:val="20"/>
        <w:lang w:val="lv-LV"/>
      </w:rPr>
      <w:t>; Par</w:t>
    </w:r>
    <w:r w:rsidR="00A62F23" w:rsidRPr="000124D8">
      <w:rPr>
        <w:rFonts w:ascii="Times New Roman" w:eastAsia="Calibri" w:hAnsi="Times New Roman" w:cs="Times New Roman"/>
        <w:sz w:val="20"/>
        <w:szCs w:val="20"/>
        <w:lang w:val="lv-LV"/>
      </w:rPr>
      <w:t xml:space="preserve"> informatīvo ziņojumu „</w:t>
    </w:r>
    <w:r w:rsidR="00A62F23">
      <w:rPr>
        <w:rFonts w:ascii="Times New Roman" w:eastAsia="Calibri" w:hAnsi="Times New Roman" w:cs="Times New Roman"/>
        <w:sz w:val="20"/>
        <w:szCs w:val="20"/>
        <w:lang w:val="lv-LV"/>
      </w:rPr>
      <w:t>P</w:t>
    </w:r>
    <w:r w:rsidR="00A62F23" w:rsidRPr="004B67DB">
      <w:rPr>
        <w:rFonts w:ascii="Times New Roman" w:eastAsia="Calibri" w:hAnsi="Times New Roman" w:cs="Times New Roman"/>
        <w:sz w:val="20"/>
        <w:szCs w:val="20"/>
        <w:lang w:val="lv-LV"/>
      </w:rPr>
      <w:t xml:space="preserve">ar finansējumu Eiropas Savienības </w:t>
    </w:r>
    <w:r w:rsidR="00A62F23">
      <w:rPr>
        <w:rFonts w:ascii="Times New Roman" w:eastAsia="Calibri" w:hAnsi="Times New Roman" w:cs="Times New Roman"/>
        <w:sz w:val="20"/>
        <w:szCs w:val="20"/>
        <w:lang w:val="lv-LV"/>
      </w:rPr>
      <w:t>S</w:t>
    </w:r>
    <w:r w:rsidR="00A62F23" w:rsidRPr="004B67DB">
      <w:rPr>
        <w:rFonts w:ascii="Times New Roman" w:eastAsia="Calibri" w:hAnsi="Times New Roman" w:cs="Times New Roman"/>
        <w:sz w:val="20"/>
        <w:szCs w:val="20"/>
        <w:lang w:val="lv-LV"/>
      </w:rPr>
      <w:t>trukturālo un investīciju fondu mērķa „Eiropas teritoriālā sadarbība” 2014.-2020.gada plānošanas periodam finanšu kontroles sistēmas darbības nodrošināšanai Latvijā</w:t>
    </w:r>
    <w:r w:rsidR="00A62F23" w:rsidRPr="000124D8">
      <w:rPr>
        <w:rFonts w:ascii="Times New Roman" w:eastAsia="Calibri" w:hAnsi="Times New Roman" w:cs="Times New Roman"/>
        <w:sz w:val="20"/>
        <w:szCs w:val="20"/>
        <w:lang w:val="lv-LV"/>
      </w:rPr>
      <w:t>”</w:t>
    </w:r>
  </w:p>
  <w:p w:rsidR="00A62F23" w:rsidRPr="008604D9" w:rsidRDefault="00A62F23">
    <w:pPr>
      <w:pStyle w:val="Footer"/>
      <w:rPr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23" w:rsidRPr="004B67DB" w:rsidRDefault="00F26A2F" w:rsidP="007617B8">
    <w:pPr>
      <w:pStyle w:val="Footer"/>
      <w:ind w:left="0"/>
      <w:rPr>
        <w:rFonts w:ascii="Times New Roman" w:eastAsia="Calibri" w:hAnsi="Times New Roman" w:cs="Times New Roman"/>
        <w:sz w:val="20"/>
        <w:szCs w:val="20"/>
        <w:lang w:val="lv-LV"/>
      </w:rPr>
    </w:pPr>
    <w:r w:rsidRPr="004B67DB">
      <w:rPr>
        <w:rFonts w:ascii="Times New Roman" w:eastAsia="Calibri" w:hAnsi="Times New Roman" w:cs="Times New Roman"/>
        <w:sz w:val="20"/>
        <w:szCs w:val="20"/>
        <w:lang w:val="lv-LV"/>
      </w:rPr>
      <w:t>VARAM</w:t>
    </w:r>
    <w:r>
      <w:rPr>
        <w:rFonts w:ascii="Times New Roman" w:eastAsia="Calibri" w:hAnsi="Times New Roman" w:cs="Times New Roman"/>
        <w:sz w:val="20"/>
        <w:szCs w:val="20"/>
        <w:lang w:val="lv-LV"/>
      </w:rPr>
      <w:t>ZINOpiel_</w:t>
    </w:r>
    <w:r w:rsidR="001B7731">
      <w:rPr>
        <w:rFonts w:ascii="Times New Roman" w:eastAsia="Calibri" w:hAnsi="Times New Roman" w:cs="Times New Roman"/>
        <w:sz w:val="20"/>
        <w:szCs w:val="20"/>
        <w:lang w:val="lv-LV"/>
      </w:rPr>
      <w:t>2</w:t>
    </w:r>
    <w:r>
      <w:rPr>
        <w:rFonts w:ascii="Times New Roman" w:eastAsia="Calibri" w:hAnsi="Times New Roman" w:cs="Times New Roman"/>
        <w:sz w:val="20"/>
        <w:szCs w:val="20"/>
        <w:lang w:val="lv-LV"/>
      </w:rPr>
      <w:t>2</w:t>
    </w:r>
    <w:r w:rsidR="001B7731">
      <w:rPr>
        <w:rFonts w:ascii="Times New Roman" w:eastAsia="Calibri" w:hAnsi="Times New Roman" w:cs="Times New Roman"/>
        <w:sz w:val="20"/>
        <w:szCs w:val="20"/>
        <w:lang w:val="lv-LV"/>
      </w:rPr>
      <w:t>10</w:t>
    </w:r>
    <w:r w:rsidR="001B7731" w:rsidRPr="006B1E51">
      <w:rPr>
        <w:rFonts w:ascii="Times New Roman" w:eastAsia="Calibri" w:hAnsi="Times New Roman" w:cs="Times New Roman"/>
        <w:sz w:val="20"/>
        <w:szCs w:val="20"/>
        <w:lang w:val="lv-LV"/>
      </w:rPr>
      <w:t>2014</w:t>
    </w:r>
    <w:r w:rsidR="00A62F23" w:rsidRPr="008604D9">
      <w:rPr>
        <w:rFonts w:ascii="Times New Roman" w:eastAsia="Calibri" w:hAnsi="Times New Roman" w:cs="Times New Roman"/>
        <w:sz w:val="20"/>
        <w:szCs w:val="20"/>
        <w:lang w:val="lv-LV"/>
      </w:rPr>
      <w:t xml:space="preserve">; </w:t>
    </w:r>
    <w:r w:rsidR="00A62F23" w:rsidRPr="000124D8">
      <w:rPr>
        <w:rFonts w:ascii="Times New Roman" w:eastAsia="Calibri" w:hAnsi="Times New Roman" w:cs="Times New Roman"/>
        <w:sz w:val="20"/>
        <w:szCs w:val="20"/>
        <w:lang w:val="lv-LV"/>
      </w:rPr>
      <w:t>Par informatīvo ziņojumu „</w:t>
    </w:r>
    <w:r w:rsidR="00A62F23" w:rsidRPr="004B67DB">
      <w:rPr>
        <w:rFonts w:ascii="Times New Roman" w:eastAsia="Calibri" w:hAnsi="Times New Roman" w:cs="Times New Roman"/>
        <w:sz w:val="20"/>
        <w:szCs w:val="20"/>
        <w:lang w:val="lv-LV"/>
      </w:rPr>
      <w:t xml:space="preserve">par finansējumu Eiropas Savienības </w:t>
    </w:r>
    <w:r w:rsidR="00A62F23">
      <w:rPr>
        <w:rFonts w:ascii="Times New Roman" w:eastAsia="Calibri" w:hAnsi="Times New Roman" w:cs="Times New Roman"/>
        <w:sz w:val="20"/>
        <w:szCs w:val="20"/>
        <w:lang w:val="lv-LV"/>
      </w:rPr>
      <w:t>S</w:t>
    </w:r>
    <w:r w:rsidR="00A62F23" w:rsidRPr="004B67DB">
      <w:rPr>
        <w:rFonts w:ascii="Times New Roman" w:eastAsia="Calibri" w:hAnsi="Times New Roman" w:cs="Times New Roman"/>
        <w:sz w:val="20"/>
        <w:szCs w:val="20"/>
        <w:lang w:val="lv-LV"/>
      </w:rPr>
      <w:t>trukturālo un investīciju fondu mērķa „Eiropas teritoriālā sadarbība” 2014.-2020.gada plānošanas periodam finanšu kontroles sistēmas darbības nodrošināšanai Latvijā</w:t>
    </w:r>
    <w:r w:rsidR="00A62F23" w:rsidRPr="000124D8">
      <w:rPr>
        <w:rFonts w:ascii="Times New Roman" w:eastAsia="Calibri" w:hAnsi="Times New Roman" w:cs="Times New Roman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06" w:rsidRDefault="00821206" w:rsidP="00942D55">
      <w:r>
        <w:separator/>
      </w:r>
    </w:p>
  </w:footnote>
  <w:footnote w:type="continuationSeparator" w:id="0">
    <w:p w:rsidR="00821206" w:rsidRDefault="00821206" w:rsidP="0094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2F" w:rsidRDefault="00F26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27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2F23" w:rsidRPr="00052FA6" w:rsidRDefault="00A62F23">
        <w:pPr>
          <w:pStyle w:val="Header"/>
          <w:jc w:val="center"/>
          <w:rPr>
            <w:rFonts w:ascii="Times New Roman" w:hAnsi="Times New Roman" w:cs="Times New Roman"/>
          </w:rPr>
        </w:pPr>
        <w:r w:rsidRPr="00052FA6">
          <w:rPr>
            <w:rFonts w:ascii="Times New Roman" w:hAnsi="Times New Roman" w:cs="Times New Roman"/>
          </w:rPr>
          <w:fldChar w:fldCharType="begin"/>
        </w:r>
        <w:r w:rsidRPr="00052FA6">
          <w:rPr>
            <w:rFonts w:ascii="Times New Roman" w:hAnsi="Times New Roman" w:cs="Times New Roman"/>
          </w:rPr>
          <w:instrText xml:space="preserve"> PAGE   \* MERGEFORMAT </w:instrText>
        </w:r>
        <w:r w:rsidRPr="00052FA6">
          <w:rPr>
            <w:rFonts w:ascii="Times New Roman" w:hAnsi="Times New Roman" w:cs="Times New Roman"/>
          </w:rPr>
          <w:fldChar w:fldCharType="separate"/>
        </w:r>
        <w:r w:rsidR="00027FA7">
          <w:rPr>
            <w:rFonts w:ascii="Times New Roman" w:hAnsi="Times New Roman" w:cs="Times New Roman"/>
            <w:noProof/>
          </w:rPr>
          <w:t>3</w:t>
        </w:r>
        <w:r w:rsidRPr="00052FA6">
          <w:rPr>
            <w:rFonts w:ascii="Times New Roman" w:hAnsi="Times New Roman" w:cs="Times New Roman"/>
          </w:rPr>
          <w:fldChar w:fldCharType="end"/>
        </w:r>
      </w:p>
    </w:sdtContent>
  </w:sdt>
  <w:p w:rsidR="00A62F23" w:rsidRDefault="00A62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2F" w:rsidRDefault="00F26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5CD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B1A46"/>
    <w:multiLevelType w:val="hybridMultilevel"/>
    <w:tmpl w:val="5EE298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5C6"/>
    <w:multiLevelType w:val="hybridMultilevel"/>
    <w:tmpl w:val="AAB2D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7590"/>
    <w:multiLevelType w:val="hybridMultilevel"/>
    <w:tmpl w:val="D1A0642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006AF"/>
    <w:multiLevelType w:val="hybridMultilevel"/>
    <w:tmpl w:val="34921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5C39"/>
    <w:multiLevelType w:val="hybridMultilevel"/>
    <w:tmpl w:val="A148D834"/>
    <w:lvl w:ilvl="0" w:tplc="1318F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73447FB"/>
    <w:multiLevelType w:val="hybridMultilevel"/>
    <w:tmpl w:val="E4BEF0D8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7DA0E57"/>
    <w:multiLevelType w:val="hybridMultilevel"/>
    <w:tmpl w:val="9C2EF5EA"/>
    <w:lvl w:ilvl="0" w:tplc="0426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89A4884"/>
    <w:multiLevelType w:val="hybridMultilevel"/>
    <w:tmpl w:val="CBF0727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412"/>
    <w:multiLevelType w:val="multilevel"/>
    <w:tmpl w:val="1B90A7E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>
    <w:nsid w:val="598A3B32"/>
    <w:multiLevelType w:val="hybridMultilevel"/>
    <w:tmpl w:val="4D2C0194"/>
    <w:lvl w:ilvl="0" w:tplc="22E4EF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B02215E"/>
    <w:multiLevelType w:val="multilevel"/>
    <w:tmpl w:val="1B90A7E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2">
    <w:nsid w:val="5EE123F8"/>
    <w:multiLevelType w:val="hybridMultilevel"/>
    <w:tmpl w:val="46C2EBEC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F434510"/>
    <w:multiLevelType w:val="hybridMultilevel"/>
    <w:tmpl w:val="F4B0B6C0"/>
    <w:lvl w:ilvl="0" w:tplc="1318F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1A3707F"/>
    <w:multiLevelType w:val="hybridMultilevel"/>
    <w:tmpl w:val="4850889C"/>
    <w:lvl w:ilvl="0" w:tplc="0426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B567E5A"/>
    <w:multiLevelType w:val="multilevel"/>
    <w:tmpl w:val="1B90A7E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6">
    <w:nsid w:val="6C8217A5"/>
    <w:multiLevelType w:val="hybridMultilevel"/>
    <w:tmpl w:val="002A95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53D"/>
    <w:multiLevelType w:val="hybridMultilevel"/>
    <w:tmpl w:val="A2A2D306"/>
    <w:lvl w:ilvl="0" w:tplc="2C4CCCD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DEF0707"/>
    <w:multiLevelType w:val="hybridMultilevel"/>
    <w:tmpl w:val="A4D27C2A"/>
    <w:lvl w:ilvl="0" w:tplc="042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7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6"/>
  </w:num>
  <w:num w:numId="14">
    <w:abstractNumId w:val="3"/>
  </w:num>
  <w:num w:numId="15">
    <w:abstractNumId w:val="6"/>
  </w:num>
  <w:num w:numId="16">
    <w:abstractNumId w:val="5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15"/>
    <w:rsid w:val="00010374"/>
    <w:rsid w:val="00023015"/>
    <w:rsid w:val="00027FA7"/>
    <w:rsid w:val="00030A96"/>
    <w:rsid w:val="00042BE6"/>
    <w:rsid w:val="000819BE"/>
    <w:rsid w:val="00084B08"/>
    <w:rsid w:val="000E2C95"/>
    <w:rsid w:val="000F7179"/>
    <w:rsid w:val="0011760A"/>
    <w:rsid w:val="00122141"/>
    <w:rsid w:val="001B7731"/>
    <w:rsid w:val="001D2A59"/>
    <w:rsid w:val="001F3F4E"/>
    <w:rsid w:val="00233631"/>
    <w:rsid w:val="002E2131"/>
    <w:rsid w:val="002E6555"/>
    <w:rsid w:val="002F3263"/>
    <w:rsid w:val="002F32FA"/>
    <w:rsid w:val="00337FCE"/>
    <w:rsid w:val="003562B9"/>
    <w:rsid w:val="00395BD4"/>
    <w:rsid w:val="003A0E57"/>
    <w:rsid w:val="003A401B"/>
    <w:rsid w:val="003B4A68"/>
    <w:rsid w:val="003E58EF"/>
    <w:rsid w:val="0044138D"/>
    <w:rsid w:val="00442851"/>
    <w:rsid w:val="004509B0"/>
    <w:rsid w:val="0048151B"/>
    <w:rsid w:val="004E5FA8"/>
    <w:rsid w:val="004F3FD5"/>
    <w:rsid w:val="00542A05"/>
    <w:rsid w:val="00563F29"/>
    <w:rsid w:val="005857BF"/>
    <w:rsid w:val="00594C7E"/>
    <w:rsid w:val="005C2501"/>
    <w:rsid w:val="005D4339"/>
    <w:rsid w:val="006457A7"/>
    <w:rsid w:val="00654219"/>
    <w:rsid w:val="00654CDF"/>
    <w:rsid w:val="00661BEE"/>
    <w:rsid w:val="00670D4D"/>
    <w:rsid w:val="006A7B21"/>
    <w:rsid w:val="006D2A1E"/>
    <w:rsid w:val="006F1C48"/>
    <w:rsid w:val="006F3690"/>
    <w:rsid w:val="00720024"/>
    <w:rsid w:val="00753657"/>
    <w:rsid w:val="007617B8"/>
    <w:rsid w:val="007A1317"/>
    <w:rsid w:val="007A3D8E"/>
    <w:rsid w:val="007A7F51"/>
    <w:rsid w:val="007B6C9C"/>
    <w:rsid w:val="00821206"/>
    <w:rsid w:val="008512BC"/>
    <w:rsid w:val="008F0F5B"/>
    <w:rsid w:val="00903D75"/>
    <w:rsid w:val="0094131E"/>
    <w:rsid w:val="00942D55"/>
    <w:rsid w:val="00955348"/>
    <w:rsid w:val="009670EE"/>
    <w:rsid w:val="00975733"/>
    <w:rsid w:val="009A15F5"/>
    <w:rsid w:val="009B401A"/>
    <w:rsid w:val="009C18F6"/>
    <w:rsid w:val="009C2E28"/>
    <w:rsid w:val="00A62F23"/>
    <w:rsid w:val="00AF1A46"/>
    <w:rsid w:val="00B1181F"/>
    <w:rsid w:val="00B12215"/>
    <w:rsid w:val="00B33988"/>
    <w:rsid w:val="00C115EF"/>
    <w:rsid w:val="00C450A6"/>
    <w:rsid w:val="00C535D0"/>
    <w:rsid w:val="00C73D47"/>
    <w:rsid w:val="00C82894"/>
    <w:rsid w:val="00CC57DF"/>
    <w:rsid w:val="00CD4400"/>
    <w:rsid w:val="00D10027"/>
    <w:rsid w:val="00D1254D"/>
    <w:rsid w:val="00D54714"/>
    <w:rsid w:val="00DF1D83"/>
    <w:rsid w:val="00E01912"/>
    <w:rsid w:val="00E026E6"/>
    <w:rsid w:val="00E35DC3"/>
    <w:rsid w:val="00EC74AD"/>
    <w:rsid w:val="00ED0F2B"/>
    <w:rsid w:val="00ED6C52"/>
    <w:rsid w:val="00EF77F4"/>
    <w:rsid w:val="00F260DB"/>
    <w:rsid w:val="00F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15"/>
    <w:pPr>
      <w:spacing w:after="0" w:line="240" w:lineRule="auto"/>
      <w:ind w:left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3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15"/>
    <w:rPr>
      <w:lang w:val="en-US"/>
    </w:rPr>
  </w:style>
  <w:style w:type="character" w:customStyle="1" w:styleId="ListParagraphChar">
    <w:name w:val="List Paragraph Char"/>
    <w:link w:val="ListParagraph"/>
    <w:uiPriority w:val="34"/>
    <w:rsid w:val="00023015"/>
    <w:rPr>
      <w:lang w:val="en-US"/>
    </w:rPr>
  </w:style>
  <w:style w:type="table" w:styleId="TableGrid">
    <w:name w:val="Table Grid"/>
    <w:basedOn w:val="TableNormal"/>
    <w:uiPriority w:val="39"/>
    <w:rsid w:val="000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5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55"/>
    <w:rPr>
      <w:rFonts w:ascii="Segoe UI" w:hAnsi="Segoe UI" w:cs="Segoe UI"/>
      <w:sz w:val="18"/>
      <w:szCs w:val="18"/>
      <w:lang w:val="en-US"/>
    </w:rPr>
  </w:style>
  <w:style w:type="paragraph" w:styleId="ListBullet">
    <w:name w:val="List Bullet"/>
    <w:basedOn w:val="Normal"/>
    <w:uiPriority w:val="99"/>
    <w:unhideWhenUsed/>
    <w:rsid w:val="00654CDF"/>
    <w:pPr>
      <w:numPr>
        <w:numId w:val="7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A6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15"/>
    <w:pPr>
      <w:spacing w:after="0" w:line="240" w:lineRule="auto"/>
      <w:ind w:left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3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15"/>
    <w:rPr>
      <w:lang w:val="en-US"/>
    </w:rPr>
  </w:style>
  <w:style w:type="character" w:customStyle="1" w:styleId="ListParagraphChar">
    <w:name w:val="List Paragraph Char"/>
    <w:link w:val="ListParagraph"/>
    <w:uiPriority w:val="34"/>
    <w:rsid w:val="00023015"/>
    <w:rPr>
      <w:lang w:val="en-US"/>
    </w:rPr>
  </w:style>
  <w:style w:type="table" w:styleId="TableGrid">
    <w:name w:val="Table Grid"/>
    <w:basedOn w:val="TableNormal"/>
    <w:uiPriority w:val="39"/>
    <w:rsid w:val="000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5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55"/>
    <w:rPr>
      <w:rFonts w:ascii="Segoe UI" w:hAnsi="Segoe UI" w:cs="Segoe UI"/>
      <w:sz w:val="18"/>
      <w:szCs w:val="18"/>
      <w:lang w:val="en-US"/>
    </w:rPr>
  </w:style>
  <w:style w:type="paragraph" w:styleId="ListBullet">
    <w:name w:val="List Bullet"/>
    <w:basedOn w:val="Normal"/>
    <w:uiPriority w:val="99"/>
    <w:unhideWhenUsed/>
    <w:rsid w:val="00654CDF"/>
    <w:pPr>
      <w:numPr>
        <w:numId w:val="7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A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Meņailova</dc:creator>
  <cp:lastModifiedBy>Laimdota Adlere</cp:lastModifiedBy>
  <cp:revision>4</cp:revision>
  <dcterms:created xsi:type="dcterms:W3CDTF">2014-10-23T13:43:00Z</dcterms:created>
  <dcterms:modified xsi:type="dcterms:W3CDTF">2014-10-23T13:43:00Z</dcterms:modified>
</cp:coreProperties>
</file>